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tblPr>
      <w:tblGrid>
        <w:gridCol w:w="2228"/>
        <w:gridCol w:w="1951"/>
        <w:gridCol w:w="5013"/>
      </w:tblGrid>
      <w:tr w:rsidR="007F290C" w:rsidRPr="00C76F9A">
        <w:tc>
          <w:tcPr>
            <w:tcW w:w="1212"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tcPr>
          <w:p w:rsidR="007F290C" w:rsidRPr="007F290C" w:rsidRDefault="007F290C" w:rsidP="00C96083">
            <w:pPr>
              <w:spacing w:after="0"/>
              <w:rPr>
                <w:sz w:val="16"/>
                <w:szCs w:val="16"/>
              </w:rPr>
            </w:pPr>
            <w:r w:rsidRPr="007F290C">
              <w:rPr>
                <w:b/>
                <w:bCs/>
                <w:sz w:val="16"/>
                <w:szCs w:val="16"/>
              </w:rPr>
              <w:t>2.2 Quelle est la place de l'Union européenne dans l'économie globale ?</w:t>
            </w:r>
          </w:p>
        </w:tc>
        <w:tc>
          <w:tcPr>
            <w:tcW w:w="1061"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tcPr>
          <w:p w:rsidR="007F290C" w:rsidRPr="007F290C" w:rsidRDefault="007F290C" w:rsidP="00C96083">
            <w:pPr>
              <w:spacing w:after="0"/>
              <w:rPr>
                <w:sz w:val="16"/>
                <w:szCs w:val="16"/>
              </w:rPr>
            </w:pPr>
            <w:r w:rsidRPr="007F290C">
              <w:rPr>
                <w:sz w:val="16"/>
                <w:szCs w:val="16"/>
              </w:rPr>
              <w:t>Euro, union économique et monétaire.</w:t>
            </w:r>
          </w:p>
        </w:tc>
        <w:tc>
          <w:tcPr>
            <w:tcW w:w="2727"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tcPr>
          <w:p w:rsidR="007F290C" w:rsidRPr="007F290C" w:rsidRDefault="007F290C" w:rsidP="00C96083">
            <w:pPr>
              <w:spacing w:after="0"/>
              <w:rPr>
                <w:sz w:val="16"/>
                <w:szCs w:val="16"/>
              </w:rPr>
            </w:pPr>
            <w:r w:rsidRPr="007F290C">
              <w:rPr>
                <w:sz w:val="16"/>
                <w:szCs w:val="16"/>
              </w:rPr>
              <w:t>Sans entrer dans le détail des évolutions historiques, on rappellera qu'en se dotant d'un grand marché intérieur et d'une monnaie unique, les pays européens mènent une expérience originale d'intégration plus étroite de leurs économies. On montrera que l'union monétaire revêt une importance particulière dans le contexte monétaire et financier international, et qu'elle renforce les interdépendances entre les politiques macroéconomiques des États membres. On s'interrogera sur les difficultés de la coordination des politiques économiques dans l'Union européenne.</w:t>
            </w:r>
            <w:r w:rsidRPr="007F290C">
              <w:rPr>
                <w:sz w:val="16"/>
                <w:szCs w:val="16"/>
              </w:rPr>
              <w:br/>
            </w:r>
            <w:r w:rsidRPr="007F290C">
              <w:rPr>
                <w:b/>
                <w:bCs/>
                <w:sz w:val="16"/>
                <w:szCs w:val="16"/>
              </w:rPr>
              <w:t xml:space="preserve">Acquis de première : </w:t>
            </w:r>
            <w:r w:rsidRPr="007F290C">
              <w:rPr>
                <w:sz w:val="16"/>
                <w:szCs w:val="16"/>
              </w:rPr>
              <w:t>banque centrale, politique budgétaire, politique monétaire, politique conjoncturelle.</w:t>
            </w:r>
          </w:p>
        </w:tc>
      </w:tr>
    </w:tbl>
    <w:p w:rsidR="007F290C" w:rsidRPr="00C96083" w:rsidRDefault="007F290C" w:rsidP="00C96083">
      <w:pPr>
        <w:pBdr>
          <w:top w:val="single" w:sz="4" w:space="1" w:color="auto"/>
          <w:left w:val="single" w:sz="4" w:space="4" w:color="auto"/>
          <w:bottom w:val="single" w:sz="4" w:space="1" w:color="auto"/>
          <w:right w:val="single" w:sz="4" w:space="4" w:color="auto"/>
        </w:pBdr>
        <w:spacing w:after="0"/>
        <w:rPr>
          <w:i/>
          <w:sz w:val="20"/>
          <w:szCs w:val="20"/>
        </w:rPr>
      </w:pPr>
      <w:r w:rsidRPr="00E05606">
        <w:rPr>
          <w:b/>
          <w:sz w:val="20"/>
          <w:szCs w:val="20"/>
          <w:highlight w:val="green"/>
        </w:rPr>
        <w:t>Constat :</w:t>
      </w:r>
      <w:r w:rsidRPr="00E05606">
        <w:rPr>
          <w:sz w:val="20"/>
          <w:szCs w:val="20"/>
          <w:highlight w:val="green"/>
        </w:rPr>
        <w:t xml:space="preserve"> un seul sujet tombé en 2013</w:t>
      </w:r>
      <w:r w:rsidR="00E75B77" w:rsidRPr="00E05606">
        <w:rPr>
          <w:sz w:val="20"/>
          <w:szCs w:val="20"/>
          <w:highlight w:val="green"/>
        </w:rPr>
        <w:t>(Antilles</w:t>
      </w:r>
      <w:r w:rsidRPr="00E05606">
        <w:rPr>
          <w:sz w:val="20"/>
          <w:szCs w:val="20"/>
          <w:highlight w:val="green"/>
        </w:rPr>
        <w:t xml:space="preserve">) sur ce thème : </w:t>
      </w:r>
      <w:r w:rsidRPr="00E05606">
        <w:rPr>
          <w:i/>
          <w:sz w:val="20"/>
          <w:szCs w:val="20"/>
          <w:highlight w:val="green"/>
        </w:rPr>
        <w:t>Vous expliquerez que la constitution d’</w:t>
      </w:r>
      <w:r w:rsidR="00E2106A" w:rsidRPr="00E05606">
        <w:rPr>
          <w:i/>
          <w:sz w:val="20"/>
          <w:szCs w:val="20"/>
          <w:highlight w:val="green"/>
        </w:rPr>
        <w:t>une Union Economique et M</w:t>
      </w:r>
      <w:r w:rsidRPr="00E05606">
        <w:rPr>
          <w:i/>
          <w:sz w:val="20"/>
          <w:szCs w:val="20"/>
          <w:highlight w:val="green"/>
        </w:rPr>
        <w:t>onétaire a été une étape importante de l’intégration européenne.</w:t>
      </w:r>
    </w:p>
    <w:tbl>
      <w:tblPr>
        <w:tblStyle w:val="Grille"/>
        <w:tblW w:w="0" w:type="auto"/>
        <w:tblLook w:val="04A0"/>
      </w:tblPr>
      <w:tblGrid>
        <w:gridCol w:w="4606"/>
        <w:gridCol w:w="4606"/>
      </w:tblGrid>
      <w:tr w:rsidR="007F290C" w:rsidRPr="00E2106A">
        <w:tc>
          <w:tcPr>
            <w:tcW w:w="9212" w:type="dxa"/>
            <w:gridSpan w:val="2"/>
          </w:tcPr>
          <w:p w:rsidR="007F290C" w:rsidRPr="00E2106A" w:rsidRDefault="007F290C" w:rsidP="00C96083">
            <w:pPr>
              <w:rPr>
                <w:sz w:val="20"/>
                <w:szCs w:val="20"/>
              </w:rPr>
            </w:pPr>
            <w:r w:rsidRPr="00E2106A">
              <w:rPr>
                <w:b/>
                <w:sz w:val="20"/>
                <w:szCs w:val="20"/>
              </w:rPr>
              <w:t>Q 1</w:t>
            </w:r>
          </w:p>
        </w:tc>
      </w:tr>
      <w:tr w:rsidR="00377C74" w:rsidRPr="00E2106A">
        <w:tc>
          <w:tcPr>
            <w:tcW w:w="4606" w:type="dxa"/>
          </w:tcPr>
          <w:p w:rsidR="00377C74" w:rsidRPr="00E2106A" w:rsidRDefault="00377C74" w:rsidP="00C96083">
            <w:pPr>
              <w:rPr>
                <w:b/>
                <w:sz w:val="20"/>
                <w:szCs w:val="20"/>
              </w:rPr>
            </w:pPr>
            <w:r w:rsidRPr="00E2106A">
              <w:rPr>
                <w:b/>
                <w:sz w:val="20"/>
                <w:szCs w:val="20"/>
              </w:rPr>
              <w:t>Montrez que l’euro constitue une étape supplémentaire dans l’intégration économique européenne</w:t>
            </w:r>
          </w:p>
        </w:tc>
        <w:tc>
          <w:tcPr>
            <w:tcW w:w="4606" w:type="dxa"/>
          </w:tcPr>
          <w:p w:rsidR="00377C74" w:rsidRPr="00E2106A" w:rsidRDefault="00377C74" w:rsidP="00C96083">
            <w:pPr>
              <w:rPr>
                <w:sz w:val="20"/>
                <w:szCs w:val="20"/>
              </w:rPr>
            </w:pPr>
            <w:r w:rsidRPr="00E2106A">
              <w:rPr>
                <w:sz w:val="20"/>
                <w:szCs w:val="20"/>
              </w:rPr>
              <w:t>Attente</w:t>
            </w:r>
            <w:r w:rsidR="00C96083">
              <w:rPr>
                <w:sz w:val="20"/>
                <w:szCs w:val="20"/>
              </w:rPr>
              <w:t>s</w:t>
            </w:r>
            <w:r w:rsidRPr="00E2106A">
              <w:rPr>
                <w:sz w:val="20"/>
                <w:szCs w:val="20"/>
              </w:rPr>
              <w:t> :</w:t>
            </w:r>
          </w:p>
          <w:p w:rsidR="00377C74" w:rsidRPr="00E2106A" w:rsidRDefault="00377C74" w:rsidP="00C96083">
            <w:pPr>
              <w:pStyle w:val="Paragraphedeliste"/>
              <w:numPr>
                <w:ilvl w:val="0"/>
                <w:numId w:val="1"/>
              </w:numPr>
              <w:rPr>
                <w:sz w:val="20"/>
                <w:szCs w:val="20"/>
              </w:rPr>
            </w:pPr>
            <w:r w:rsidRPr="00E2106A">
              <w:rPr>
                <w:sz w:val="20"/>
                <w:szCs w:val="20"/>
              </w:rPr>
              <w:t xml:space="preserve"> Def de l’euro (monnaie unique + 1 bq centrale)</w:t>
            </w:r>
          </w:p>
          <w:p w:rsidR="00377C74" w:rsidRPr="00E2106A" w:rsidRDefault="00377C74" w:rsidP="00C96083">
            <w:pPr>
              <w:pStyle w:val="Paragraphedeliste"/>
              <w:numPr>
                <w:ilvl w:val="0"/>
                <w:numId w:val="1"/>
              </w:numPr>
              <w:rPr>
                <w:sz w:val="20"/>
                <w:szCs w:val="20"/>
              </w:rPr>
            </w:pPr>
            <w:r w:rsidRPr="00E2106A">
              <w:rPr>
                <w:sz w:val="20"/>
                <w:szCs w:val="20"/>
              </w:rPr>
              <w:t>Facilitation des échanges  (dont risque de change)</w:t>
            </w:r>
          </w:p>
          <w:p w:rsidR="00377C74" w:rsidRPr="00E2106A" w:rsidRDefault="00377C74" w:rsidP="00C96083">
            <w:pPr>
              <w:pStyle w:val="Paragraphedeliste"/>
              <w:numPr>
                <w:ilvl w:val="0"/>
                <w:numId w:val="1"/>
              </w:numPr>
              <w:rPr>
                <w:sz w:val="20"/>
                <w:szCs w:val="20"/>
              </w:rPr>
            </w:pPr>
            <w:r w:rsidRPr="00E2106A">
              <w:rPr>
                <w:sz w:val="20"/>
                <w:szCs w:val="20"/>
              </w:rPr>
              <w:t>Obligation de politique monétaire commune</w:t>
            </w:r>
          </w:p>
          <w:p w:rsidR="00377C74" w:rsidRPr="00E2106A" w:rsidRDefault="00377C74" w:rsidP="00C96083">
            <w:pPr>
              <w:pStyle w:val="Paragraphedeliste"/>
              <w:numPr>
                <w:ilvl w:val="0"/>
                <w:numId w:val="1"/>
              </w:numPr>
              <w:rPr>
                <w:sz w:val="20"/>
                <w:szCs w:val="20"/>
              </w:rPr>
            </w:pPr>
            <w:r w:rsidRPr="00E2106A">
              <w:rPr>
                <w:sz w:val="20"/>
                <w:szCs w:val="20"/>
              </w:rPr>
              <w:t>(+ un symbole)</w:t>
            </w:r>
          </w:p>
          <w:p w:rsidR="00377C74" w:rsidRPr="00E2106A" w:rsidRDefault="00377C74" w:rsidP="00C96083">
            <w:pPr>
              <w:rPr>
                <w:sz w:val="20"/>
                <w:szCs w:val="20"/>
              </w:rPr>
            </w:pPr>
          </w:p>
        </w:tc>
      </w:tr>
      <w:tr w:rsidR="00377C74" w:rsidRPr="00E2106A">
        <w:tc>
          <w:tcPr>
            <w:tcW w:w="4606" w:type="dxa"/>
          </w:tcPr>
          <w:p w:rsidR="00377C74" w:rsidRPr="00E2106A" w:rsidRDefault="00377C74" w:rsidP="00C96083">
            <w:pPr>
              <w:rPr>
                <w:sz w:val="20"/>
                <w:szCs w:val="20"/>
              </w:rPr>
            </w:pPr>
            <w:r w:rsidRPr="00E2106A">
              <w:rPr>
                <w:b/>
                <w:sz w:val="20"/>
                <w:szCs w:val="20"/>
              </w:rPr>
              <w:t>Montrez que l’adoption de la monnaie commune européenne a entrainé un renoncement à toute politique monétaire nationale</w:t>
            </w:r>
            <w:r w:rsidRPr="00E2106A">
              <w:rPr>
                <w:sz w:val="20"/>
                <w:szCs w:val="20"/>
              </w:rPr>
              <w:t>.</w:t>
            </w:r>
          </w:p>
        </w:tc>
        <w:tc>
          <w:tcPr>
            <w:tcW w:w="4606" w:type="dxa"/>
          </w:tcPr>
          <w:p w:rsidR="00377C74" w:rsidRPr="00E2106A" w:rsidRDefault="00377C74" w:rsidP="00C96083">
            <w:pPr>
              <w:rPr>
                <w:sz w:val="20"/>
                <w:szCs w:val="20"/>
              </w:rPr>
            </w:pPr>
            <w:r w:rsidRPr="00E2106A">
              <w:rPr>
                <w:sz w:val="20"/>
                <w:szCs w:val="20"/>
              </w:rPr>
              <w:t>Attente</w:t>
            </w:r>
            <w:r w:rsidR="00C96083">
              <w:rPr>
                <w:sz w:val="20"/>
                <w:szCs w:val="20"/>
              </w:rPr>
              <w:t>s</w:t>
            </w:r>
            <w:r w:rsidRPr="00E2106A">
              <w:rPr>
                <w:sz w:val="20"/>
                <w:szCs w:val="20"/>
              </w:rPr>
              <w:t> :</w:t>
            </w:r>
          </w:p>
          <w:p w:rsidR="00377C74" w:rsidRPr="00E2106A" w:rsidRDefault="00377C74" w:rsidP="00C96083">
            <w:pPr>
              <w:pStyle w:val="Paragraphedeliste"/>
              <w:numPr>
                <w:ilvl w:val="0"/>
                <w:numId w:val="1"/>
              </w:numPr>
              <w:rPr>
                <w:sz w:val="20"/>
                <w:szCs w:val="20"/>
              </w:rPr>
            </w:pPr>
            <w:r w:rsidRPr="00E2106A">
              <w:rPr>
                <w:sz w:val="20"/>
                <w:szCs w:val="20"/>
              </w:rPr>
              <w:t>Def de l’euro comme monnaie commune (monnaie unique + 1 bq centrale)</w:t>
            </w:r>
          </w:p>
          <w:p w:rsidR="00377C74" w:rsidRPr="00E2106A" w:rsidRDefault="00377C74" w:rsidP="00C96083">
            <w:pPr>
              <w:pStyle w:val="Paragraphedeliste"/>
              <w:numPr>
                <w:ilvl w:val="0"/>
                <w:numId w:val="1"/>
              </w:numPr>
              <w:rPr>
                <w:sz w:val="20"/>
                <w:szCs w:val="20"/>
              </w:rPr>
            </w:pPr>
            <w:r w:rsidRPr="00E2106A">
              <w:rPr>
                <w:sz w:val="20"/>
                <w:szCs w:val="20"/>
              </w:rPr>
              <w:t xml:space="preserve">Nécessité d’une politique monétaire unique </w:t>
            </w:r>
          </w:p>
          <w:p w:rsidR="00377C74" w:rsidRPr="00E2106A" w:rsidRDefault="00377C74" w:rsidP="00C96083">
            <w:pPr>
              <w:pStyle w:val="Paragraphedeliste"/>
              <w:numPr>
                <w:ilvl w:val="0"/>
                <w:numId w:val="1"/>
              </w:numPr>
              <w:rPr>
                <w:sz w:val="20"/>
                <w:szCs w:val="20"/>
              </w:rPr>
            </w:pPr>
            <w:r w:rsidRPr="00E2106A">
              <w:rPr>
                <w:sz w:val="20"/>
                <w:szCs w:val="20"/>
              </w:rPr>
              <w:t>Perte de contrôle de la politique monétaire / politique monétaire contrainte</w:t>
            </w:r>
          </w:p>
          <w:p w:rsidR="00377C74" w:rsidRPr="00E2106A" w:rsidRDefault="00377C74" w:rsidP="00C96083">
            <w:pPr>
              <w:pStyle w:val="Paragraphedeliste"/>
              <w:numPr>
                <w:ilvl w:val="0"/>
                <w:numId w:val="1"/>
              </w:numPr>
              <w:rPr>
                <w:sz w:val="20"/>
                <w:szCs w:val="20"/>
              </w:rPr>
            </w:pPr>
            <w:r w:rsidRPr="00E2106A">
              <w:rPr>
                <w:sz w:val="20"/>
                <w:szCs w:val="20"/>
              </w:rPr>
              <w:t>Reste politique budgétaire</w:t>
            </w:r>
          </w:p>
        </w:tc>
      </w:tr>
      <w:tr w:rsidR="00377C74" w:rsidRPr="00E2106A">
        <w:tc>
          <w:tcPr>
            <w:tcW w:w="4606" w:type="dxa"/>
          </w:tcPr>
          <w:p w:rsidR="00377C74" w:rsidRPr="00E2106A" w:rsidRDefault="00377C74" w:rsidP="00C96083">
            <w:pPr>
              <w:rPr>
                <w:b/>
                <w:sz w:val="20"/>
                <w:szCs w:val="20"/>
              </w:rPr>
            </w:pPr>
            <w:r w:rsidRPr="00E2106A">
              <w:rPr>
                <w:b/>
                <w:sz w:val="20"/>
                <w:szCs w:val="20"/>
              </w:rPr>
              <w:t xml:space="preserve">Illustrez par un exemple les difficultés de coordination des politiques </w:t>
            </w:r>
            <w:r w:rsidR="00EC180F" w:rsidRPr="00E2106A">
              <w:rPr>
                <w:b/>
                <w:sz w:val="20"/>
                <w:szCs w:val="20"/>
              </w:rPr>
              <w:t>économiques dans l’UEM</w:t>
            </w:r>
          </w:p>
        </w:tc>
        <w:tc>
          <w:tcPr>
            <w:tcW w:w="4606" w:type="dxa"/>
          </w:tcPr>
          <w:p w:rsidR="00C96083" w:rsidRDefault="00C96083" w:rsidP="00C96083">
            <w:pPr>
              <w:rPr>
                <w:sz w:val="20"/>
                <w:szCs w:val="20"/>
              </w:rPr>
            </w:pPr>
            <w:r>
              <w:rPr>
                <w:sz w:val="20"/>
                <w:szCs w:val="20"/>
              </w:rPr>
              <w:t xml:space="preserve">Attentes : </w:t>
            </w:r>
          </w:p>
          <w:p w:rsidR="00C96083" w:rsidRDefault="00C96083" w:rsidP="00C96083">
            <w:pPr>
              <w:pStyle w:val="Paragraphedeliste"/>
              <w:numPr>
                <w:ilvl w:val="0"/>
                <w:numId w:val="1"/>
              </w:numPr>
              <w:rPr>
                <w:sz w:val="20"/>
                <w:szCs w:val="20"/>
              </w:rPr>
            </w:pPr>
            <w:r>
              <w:rPr>
                <w:sz w:val="20"/>
                <w:szCs w:val="20"/>
              </w:rPr>
              <w:t>Def de politique éco</w:t>
            </w:r>
          </w:p>
          <w:p w:rsidR="00C96083" w:rsidRDefault="00C96083" w:rsidP="00C96083">
            <w:pPr>
              <w:pStyle w:val="Paragraphedeliste"/>
              <w:numPr>
                <w:ilvl w:val="0"/>
                <w:numId w:val="1"/>
              </w:numPr>
              <w:rPr>
                <w:sz w:val="20"/>
                <w:szCs w:val="20"/>
              </w:rPr>
            </w:pPr>
            <w:r>
              <w:rPr>
                <w:sz w:val="20"/>
                <w:szCs w:val="20"/>
              </w:rPr>
              <w:t>Notion de coordination</w:t>
            </w:r>
          </w:p>
          <w:p w:rsidR="00C96083" w:rsidRPr="00C96083" w:rsidRDefault="00C96083" w:rsidP="00C96083">
            <w:pPr>
              <w:pStyle w:val="Paragraphedeliste"/>
              <w:numPr>
                <w:ilvl w:val="0"/>
                <w:numId w:val="1"/>
              </w:numPr>
              <w:rPr>
                <w:sz w:val="20"/>
                <w:szCs w:val="20"/>
              </w:rPr>
            </w:pPr>
            <w:r>
              <w:rPr>
                <w:sz w:val="20"/>
                <w:szCs w:val="20"/>
              </w:rPr>
              <w:t>Pistes d’expl : chocs asymétriques, crise de la dette qui accroit les spreads</w:t>
            </w:r>
          </w:p>
        </w:tc>
      </w:tr>
      <w:tr w:rsidR="00377C74" w:rsidRPr="00E2106A">
        <w:tc>
          <w:tcPr>
            <w:tcW w:w="4606" w:type="dxa"/>
          </w:tcPr>
          <w:p w:rsidR="00377C74" w:rsidRPr="00E2106A" w:rsidRDefault="00EC180F" w:rsidP="00C96083">
            <w:pPr>
              <w:rPr>
                <w:b/>
                <w:sz w:val="20"/>
                <w:szCs w:val="20"/>
              </w:rPr>
            </w:pPr>
            <w:r w:rsidRPr="00E2106A">
              <w:rPr>
                <w:b/>
                <w:sz w:val="20"/>
                <w:szCs w:val="20"/>
              </w:rPr>
              <w:t>Vous montrerez les difficultés de coordination des politiques économiques dans l’UEM</w:t>
            </w:r>
          </w:p>
        </w:tc>
        <w:tc>
          <w:tcPr>
            <w:tcW w:w="4606" w:type="dxa"/>
          </w:tcPr>
          <w:p w:rsidR="00C96083" w:rsidRDefault="00C96083" w:rsidP="00C96083">
            <w:pPr>
              <w:rPr>
                <w:sz w:val="20"/>
                <w:szCs w:val="20"/>
              </w:rPr>
            </w:pPr>
            <w:r>
              <w:rPr>
                <w:sz w:val="20"/>
                <w:szCs w:val="20"/>
              </w:rPr>
              <w:t xml:space="preserve">Attentes : </w:t>
            </w:r>
          </w:p>
          <w:p w:rsidR="00C96083" w:rsidRDefault="00C96083" w:rsidP="00C96083">
            <w:pPr>
              <w:pStyle w:val="Paragraphedeliste"/>
              <w:numPr>
                <w:ilvl w:val="0"/>
                <w:numId w:val="1"/>
              </w:numPr>
              <w:rPr>
                <w:sz w:val="20"/>
                <w:szCs w:val="20"/>
              </w:rPr>
            </w:pPr>
            <w:r>
              <w:rPr>
                <w:sz w:val="20"/>
                <w:szCs w:val="20"/>
              </w:rPr>
              <w:t xml:space="preserve">Def de politique éco </w:t>
            </w:r>
          </w:p>
          <w:p w:rsidR="00C96083" w:rsidRDefault="00C96083" w:rsidP="00C96083">
            <w:pPr>
              <w:pStyle w:val="Paragraphedeliste"/>
              <w:numPr>
                <w:ilvl w:val="0"/>
                <w:numId w:val="1"/>
              </w:numPr>
              <w:rPr>
                <w:sz w:val="20"/>
                <w:szCs w:val="20"/>
              </w:rPr>
            </w:pPr>
            <w:r>
              <w:rPr>
                <w:sz w:val="20"/>
                <w:szCs w:val="20"/>
              </w:rPr>
              <w:t>Notion de coordination</w:t>
            </w:r>
          </w:p>
          <w:p w:rsidR="00377C74" w:rsidRPr="00C96083" w:rsidRDefault="00C96083" w:rsidP="00C96083">
            <w:pPr>
              <w:pStyle w:val="Paragraphedeliste"/>
              <w:numPr>
                <w:ilvl w:val="0"/>
                <w:numId w:val="1"/>
              </w:numPr>
              <w:rPr>
                <w:sz w:val="20"/>
                <w:szCs w:val="20"/>
              </w:rPr>
            </w:pPr>
            <w:r>
              <w:rPr>
                <w:sz w:val="20"/>
                <w:szCs w:val="20"/>
              </w:rPr>
              <w:t>politique non coopérative</w:t>
            </w:r>
          </w:p>
        </w:tc>
      </w:tr>
      <w:tr w:rsidR="00EC180F" w:rsidRPr="00E2106A">
        <w:tc>
          <w:tcPr>
            <w:tcW w:w="4606" w:type="dxa"/>
          </w:tcPr>
          <w:p w:rsidR="00EC180F" w:rsidRPr="00E2106A" w:rsidRDefault="00EC180F" w:rsidP="00C96083">
            <w:pPr>
              <w:rPr>
                <w:b/>
                <w:sz w:val="20"/>
                <w:szCs w:val="20"/>
              </w:rPr>
            </w:pPr>
            <w:r w:rsidRPr="00E2106A">
              <w:rPr>
                <w:b/>
                <w:sz w:val="20"/>
                <w:szCs w:val="20"/>
              </w:rPr>
              <w:t xml:space="preserve">Quels sont les effets d’un euro fort sur l’économie des pays concernés ? </w:t>
            </w:r>
          </w:p>
        </w:tc>
        <w:tc>
          <w:tcPr>
            <w:tcW w:w="4606" w:type="dxa"/>
            <w:vMerge w:val="restart"/>
          </w:tcPr>
          <w:p w:rsidR="00EC180F" w:rsidRPr="00E2106A" w:rsidRDefault="00EC180F" w:rsidP="00C96083">
            <w:pPr>
              <w:pStyle w:val="Paragraphedeliste"/>
              <w:numPr>
                <w:ilvl w:val="0"/>
                <w:numId w:val="1"/>
              </w:numPr>
              <w:rPr>
                <w:sz w:val="20"/>
                <w:szCs w:val="20"/>
              </w:rPr>
            </w:pPr>
            <w:r w:rsidRPr="00E2106A">
              <w:rPr>
                <w:sz w:val="20"/>
                <w:szCs w:val="20"/>
              </w:rPr>
              <w:t xml:space="preserve">Def de l’euro </w:t>
            </w:r>
          </w:p>
          <w:p w:rsidR="00EC180F" w:rsidRPr="00E2106A" w:rsidRDefault="00EC180F" w:rsidP="00C96083">
            <w:pPr>
              <w:pStyle w:val="Paragraphedeliste"/>
              <w:numPr>
                <w:ilvl w:val="0"/>
                <w:numId w:val="1"/>
              </w:numPr>
              <w:rPr>
                <w:sz w:val="20"/>
                <w:szCs w:val="20"/>
              </w:rPr>
            </w:pPr>
            <w:r w:rsidRPr="00E2106A">
              <w:rPr>
                <w:sz w:val="20"/>
                <w:szCs w:val="20"/>
              </w:rPr>
              <w:t>Explication euro faible ou fort</w:t>
            </w:r>
          </w:p>
          <w:p w:rsidR="00EC180F" w:rsidRPr="00E2106A" w:rsidRDefault="00EC180F" w:rsidP="00C96083">
            <w:pPr>
              <w:pStyle w:val="Paragraphedeliste"/>
              <w:numPr>
                <w:ilvl w:val="0"/>
                <w:numId w:val="1"/>
              </w:numPr>
              <w:rPr>
                <w:sz w:val="20"/>
                <w:szCs w:val="20"/>
              </w:rPr>
            </w:pPr>
            <w:r w:rsidRPr="00E2106A">
              <w:rPr>
                <w:sz w:val="20"/>
                <w:szCs w:val="20"/>
              </w:rPr>
              <w:t xml:space="preserve">Effets sur compétitivité et commerce </w:t>
            </w:r>
          </w:p>
          <w:p w:rsidR="00EC180F" w:rsidRPr="00E2106A" w:rsidRDefault="00EC180F" w:rsidP="00C96083">
            <w:pPr>
              <w:pStyle w:val="Paragraphedeliste"/>
              <w:numPr>
                <w:ilvl w:val="0"/>
                <w:numId w:val="1"/>
              </w:numPr>
              <w:rPr>
                <w:sz w:val="20"/>
                <w:szCs w:val="20"/>
              </w:rPr>
            </w:pPr>
            <w:r w:rsidRPr="00E2106A">
              <w:rPr>
                <w:sz w:val="20"/>
                <w:szCs w:val="20"/>
              </w:rPr>
              <w:t>Expl  de pays plus touchés que d’autres dans la zone</w:t>
            </w:r>
          </w:p>
          <w:p w:rsidR="00EC180F" w:rsidRPr="00E2106A" w:rsidRDefault="00EC180F" w:rsidP="00C96083">
            <w:pPr>
              <w:pStyle w:val="Paragraphedeliste"/>
              <w:numPr>
                <w:ilvl w:val="0"/>
                <w:numId w:val="1"/>
              </w:numPr>
              <w:rPr>
                <w:sz w:val="20"/>
                <w:szCs w:val="20"/>
              </w:rPr>
            </w:pPr>
            <w:r w:rsidRPr="00E2106A">
              <w:rPr>
                <w:sz w:val="20"/>
                <w:szCs w:val="20"/>
              </w:rPr>
              <w:t xml:space="preserve">Politique monétaire et </w:t>
            </w:r>
            <w:r w:rsidR="00E75B77">
              <w:rPr>
                <w:sz w:val="20"/>
                <w:szCs w:val="20"/>
              </w:rPr>
              <w:t xml:space="preserve">politique </w:t>
            </w:r>
            <w:r w:rsidRPr="00E2106A">
              <w:rPr>
                <w:sz w:val="20"/>
                <w:szCs w:val="20"/>
              </w:rPr>
              <w:t xml:space="preserve">des changes </w:t>
            </w:r>
            <w:proofErr w:type="gramStart"/>
            <w:r w:rsidRPr="00E2106A">
              <w:rPr>
                <w:sz w:val="20"/>
                <w:szCs w:val="20"/>
              </w:rPr>
              <w:t>contrainte</w:t>
            </w:r>
            <w:r w:rsidR="00E75B77">
              <w:rPr>
                <w:sz w:val="20"/>
                <w:szCs w:val="20"/>
              </w:rPr>
              <w:t>s</w:t>
            </w:r>
            <w:proofErr w:type="gramEnd"/>
            <w:r w:rsidRPr="00E2106A">
              <w:rPr>
                <w:sz w:val="20"/>
                <w:szCs w:val="20"/>
              </w:rPr>
              <w:t xml:space="preserve"> </w:t>
            </w:r>
          </w:p>
        </w:tc>
      </w:tr>
      <w:tr w:rsidR="00EC180F" w:rsidRPr="00E2106A">
        <w:tc>
          <w:tcPr>
            <w:tcW w:w="4606" w:type="dxa"/>
          </w:tcPr>
          <w:p w:rsidR="00EC180F" w:rsidRPr="00E2106A" w:rsidRDefault="00EC180F" w:rsidP="00C96083">
            <w:pPr>
              <w:rPr>
                <w:b/>
                <w:sz w:val="20"/>
                <w:szCs w:val="20"/>
              </w:rPr>
            </w:pPr>
            <w:r w:rsidRPr="00E2106A">
              <w:rPr>
                <w:b/>
                <w:sz w:val="20"/>
                <w:szCs w:val="20"/>
              </w:rPr>
              <w:t>Quels sont les effets d’un euro faible sur l’économie des pays concernés ?</w:t>
            </w:r>
          </w:p>
        </w:tc>
        <w:tc>
          <w:tcPr>
            <w:tcW w:w="4606" w:type="dxa"/>
            <w:vMerge/>
          </w:tcPr>
          <w:p w:rsidR="00EC180F" w:rsidRPr="00E2106A" w:rsidRDefault="00EC180F" w:rsidP="00C96083">
            <w:pPr>
              <w:rPr>
                <w:sz w:val="20"/>
                <w:szCs w:val="20"/>
              </w:rPr>
            </w:pPr>
          </w:p>
        </w:tc>
      </w:tr>
      <w:tr w:rsidR="00EC180F" w:rsidRPr="00E2106A">
        <w:tc>
          <w:tcPr>
            <w:tcW w:w="4606" w:type="dxa"/>
          </w:tcPr>
          <w:p w:rsidR="00EC180F" w:rsidRPr="00E2106A" w:rsidRDefault="00EC180F" w:rsidP="00C96083">
            <w:pPr>
              <w:rPr>
                <w:b/>
                <w:sz w:val="20"/>
                <w:szCs w:val="20"/>
              </w:rPr>
            </w:pPr>
            <w:r w:rsidRPr="00E2106A">
              <w:rPr>
                <w:b/>
                <w:sz w:val="20"/>
                <w:szCs w:val="20"/>
              </w:rPr>
              <w:t>Quels sont les effets de variation de l’euro sur l’économie des pays concernés ?</w:t>
            </w:r>
          </w:p>
        </w:tc>
        <w:tc>
          <w:tcPr>
            <w:tcW w:w="4606" w:type="dxa"/>
            <w:vMerge/>
          </w:tcPr>
          <w:p w:rsidR="00EC180F" w:rsidRPr="00E2106A" w:rsidRDefault="00EC180F" w:rsidP="00C96083">
            <w:pPr>
              <w:rPr>
                <w:sz w:val="20"/>
                <w:szCs w:val="20"/>
              </w:rPr>
            </w:pPr>
          </w:p>
        </w:tc>
      </w:tr>
    </w:tbl>
    <w:p w:rsidR="00377C74" w:rsidRPr="00E2106A" w:rsidRDefault="00377C74" w:rsidP="00C96083">
      <w:pPr>
        <w:spacing w:after="0"/>
        <w:rPr>
          <w:sz w:val="20"/>
          <w:szCs w:val="20"/>
        </w:rPr>
      </w:pPr>
    </w:p>
    <w:tbl>
      <w:tblPr>
        <w:tblStyle w:val="Grille"/>
        <w:tblW w:w="0" w:type="auto"/>
        <w:tblLook w:val="04A0"/>
      </w:tblPr>
      <w:tblGrid>
        <w:gridCol w:w="4606"/>
        <w:gridCol w:w="4606"/>
      </w:tblGrid>
      <w:tr w:rsidR="007F290C" w:rsidRPr="00E2106A">
        <w:tc>
          <w:tcPr>
            <w:tcW w:w="9212" w:type="dxa"/>
            <w:gridSpan w:val="2"/>
          </w:tcPr>
          <w:p w:rsidR="007F290C" w:rsidRPr="00E2106A" w:rsidRDefault="007F290C" w:rsidP="00C96083">
            <w:pPr>
              <w:rPr>
                <w:sz w:val="20"/>
                <w:szCs w:val="20"/>
              </w:rPr>
            </w:pPr>
            <w:r w:rsidRPr="00E2106A">
              <w:rPr>
                <w:b/>
                <w:sz w:val="20"/>
                <w:szCs w:val="20"/>
              </w:rPr>
              <w:t>Q2</w:t>
            </w:r>
          </w:p>
        </w:tc>
      </w:tr>
      <w:tr w:rsidR="00EC180F" w:rsidRPr="00E2106A">
        <w:tc>
          <w:tcPr>
            <w:tcW w:w="4606" w:type="dxa"/>
          </w:tcPr>
          <w:p w:rsidR="00EC180F" w:rsidRPr="00E2106A" w:rsidRDefault="00EC180F" w:rsidP="00C96083">
            <w:pPr>
              <w:rPr>
                <w:b/>
                <w:sz w:val="20"/>
                <w:szCs w:val="20"/>
              </w:rPr>
            </w:pPr>
            <w:r w:rsidRPr="00E2106A">
              <w:rPr>
                <w:b/>
                <w:sz w:val="20"/>
                <w:szCs w:val="20"/>
              </w:rPr>
              <w:t>Après avoir présenté le document, vous montrerez les divergences en terme de compétitivité</w:t>
            </w:r>
            <w:r w:rsidR="00E75B77">
              <w:rPr>
                <w:b/>
                <w:sz w:val="20"/>
                <w:szCs w:val="20"/>
              </w:rPr>
              <w:t>,</w:t>
            </w:r>
            <w:bookmarkStart w:id="0" w:name="_GoBack"/>
            <w:bookmarkEnd w:id="0"/>
            <w:r w:rsidRPr="00E2106A">
              <w:rPr>
                <w:b/>
                <w:sz w:val="20"/>
                <w:szCs w:val="20"/>
              </w:rPr>
              <w:t xml:space="preserve">  entre les pays de l’UEM.</w:t>
            </w:r>
          </w:p>
        </w:tc>
        <w:tc>
          <w:tcPr>
            <w:tcW w:w="4606" w:type="dxa"/>
          </w:tcPr>
          <w:p w:rsidR="00EC180F" w:rsidRPr="00E2106A" w:rsidRDefault="00EC180F" w:rsidP="00C96083">
            <w:pPr>
              <w:rPr>
                <w:i/>
                <w:sz w:val="20"/>
                <w:szCs w:val="20"/>
              </w:rPr>
            </w:pPr>
            <w:r w:rsidRPr="00E2106A">
              <w:rPr>
                <w:i/>
                <w:sz w:val="20"/>
                <w:szCs w:val="20"/>
              </w:rPr>
              <w:t>Doc p 62 Du doc de L. Desmet</w:t>
            </w:r>
          </w:p>
        </w:tc>
      </w:tr>
      <w:tr w:rsidR="00EC180F" w:rsidRPr="00E2106A">
        <w:tc>
          <w:tcPr>
            <w:tcW w:w="4606" w:type="dxa"/>
          </w:tcPr>
          <w:p w:rsidR="00EC180F" w:rsidRPr="00E2106A" w:rsidRDefault="00EC180F" w:rsidP="00C96083">
            <w:pPr>
              <w:rPr>
                <w:b/>
                <w:sz w:val="20"/>
                <w:szCs w:val="20"/>
              </w:rPr>
            </w:pPr>
            <w:r w:rsidRPr="00E2106A">
              <w:rPr>
                <w:b/>
                <w:sz w:val="20"/>
                <w:szCs w:val="20"/>
              </w:rPr>
              <w:t xml:space="preserve">Après avoir…. </w:t>
            </w:r>
            <w:r w:rsidR="007F290C" w:rsidRPr="00E2106A">
              <w:rPr>
                <w:b/>
                <w:sz w:val="20"/>
                <w:szCs w:val="20"/>
              </w:rPr>
              <w:t>v</w:t>
            </w:r>
            <w:r w:rsidRPr="00E2106A">
              <w:rPr>
                <w:b/>
                <w:sz w:val="20"/>
                <w:szCs w:val="20"/>
              </w:rPr>
              <w:t xml:space="preserve">ous montrerez le lien entre </w:t>
            </w:r>
            <w:r w:rsidR="007F290C" w:rsidRPr="00E2106A">
              <w:rPr>
                <w:b/>
                <w:sz w:val="20"/>
                <w:szCs w:val="20"/>
              </w:rPr>
              <w:t>la mise en place de l’UEM et l’accroissement des échanges.</w:t>
            </w:r>
          </w:p>
        </w:tc>
        <w:tc>
          <w:tcPr>
            <w:tcW w:w="4606" w:type="dxa"/>
          </w:tcPr>
          <w:p w:rsidR="00EC180F" w:rsidRPr="00E2106A" w:rsidRDefault="007F290C" w:rsidP="00C96083">
            <w:pPr>
              <w:rPr>
                <w:i/>
                <w:sz w:val="20"/>
                <w:szCs w:val="20"/>
              </w:rPr>
            </w:pPr>
            <w:r w:rsidRPr="00E2106A">
              <w:rPr>
                <w:i/>
                <w:sz w:val="20"/>
                <w:szCs w:val="20"/>
              </w:rPr>
              <w:t>P119 Doc B du manuel  HATIER</w:t>
            </w:r>
          </w:p>
          <w:p w:rsidR="007F290C" w:rsidRPr="00E2106A" w:rsidRDefault="007F290C" w:rsidP="00C96083">
            <w:pPr>
              <w:rPr>
                <w:i/>
                <w:sz w:val="20"/>
                <w:szCs w:val="20"/>
              </w:rPr>
            </w:pPr>
            <w:r w:rsidRPr="00E2106A">
              <w:rPr>
                <w:i/>
                <w:sz w:val="20"/>
                <w:szCs w:val="20"/>
              </w:rPr>
              <w:t>(commerce intra-zones)</w:t>
            </w:r>
          </w:p>
        </w:tc>
      </w:tr>
    </w:tbl>
    <w:p w:rsidR="00377C74" w:rsidRPr="00E2106A" w:rsidRDefault="00377C74" w:rsidP="00C96083">
      <w:pPr>
        <w:spacing w:after="0"/>
        <w:rPr>
          <w:sz w:val="20"/>
          <w:szCs w:val="20"/>
        </w:rPr>
      </w:pPr>
    </w:p>
    <w:tbl>
      <w:tblPr>
        <w:tblStyle w:val="Grille"/>
        <w:tblW w:w="0" w:type="auto"/>
        <w:tblLook w:val="04A0"/>
      </w:tblPr>
      <w:tblGrid>
        <w:gridCol w:w="3070"/>
        <w:gridCol w:w="6142"/>
      </w:tblGrid>
      <w:tr w:rsidR="007F290C" w:rsidRPr="00E2106A">
        <w:tc>
          <w:tcPr>
            <w:tcW w:w="9212" w:type="dxa"/>
            <w:gridSpan w:val="2"/>
          </w:tcPr>
          <w:p w:rsidR="007F290C" w:rsidRPr="00E2106A" w:rsidRDefault="007F290C" w:rsidP="00C96083">
            <w:pPr>
              <w:rPr>
                <w:sz w:val="20"/>
                <w:szCs w:val="20"/>
              </w:rPr>
            </w:pPr>
            <w:r w:rsidRPr="00E2106A">
              <w:rPr>
                <w:b/>
                <w:sz w:val="20"/>
                <w:szCs w:val="20"/>
              </w:rPr>
              <w:t>Q3</w:t>
            </w:r>
          </w:p>
        </w:tc>
      </w:tr>
      <w:tr w:rsidR="007F290C" w:rsidRPr="00E2106A">
        <w:tc>
          <w:tcPr>
            <w:tcW w:w="3070" w:type="dxa"/>
          </w:tcPr>
          <w:p w:rsidR="007F290C" w:rsidRPr="00E2106A" w:rsidRDefault="007F290C">
            <w:pPr>
              <w:rPr>
                <w:b/>
                <w:sz w:val="20"/>
                <w:szCs w:val="20"/>
              </w:rPr>
            </w:pPr>
            <w:r w:rsidRPr="00E2106A">
              <w:rPr>
                <w:b/>
                <w:sz w:val="20"/>
                <w:szCs w:val="20"/>
              </w:rPr>
              <w:t>Montrez comment l’euro a favorisé l’intégration européenne</w:t>
            </w:r>
          </w:p>
        </w:tc>
        <w:tc>
          <w:tcPr>
            <w:tcW w:w="6142" w:type="dxa"/>
          </w:tcPr>
          <w:p w:rsidR="007F290C" w:rsidRPr="00E2106A" w:rsidRDefault="007F290C">
            <w:pPr>
              <w:rPr>
                <w:sz w:val="20"/>
                <w:szCs w:val="20"/>
              </w:rPr>
            </w:pPr>
            <w:r w:rsidRPr="00E2106A">
              <w:rPr>
                <w:sz w:val="20"/>
                <w:szCs w:val="20"/>
              </w:rPr>
              <w:t>Doc B manuel Hatier p 119 + cf sujet Antilles</w:t>
            </w:r>
            <w:r w:rsidR="00C96083">
              <w:rPr>
                <w:sz w:val="20"/>
                <w:szCs w:val="20"/>
              </w:rPr>
              <w:t xml:space="preserve"> + doc p119 du HATIER + doc L. Desmet </w:t>
            </w:r>
          </w:p>
        </w:tc>
      </w:tr>
    </w:tbl>
    <w:p w:rsidR="00377C74" w:rsidRPr="00E2106A" w:rsidRDefault="00377C74">
      <w:pPr>
        <w:rPr>
          <w:sz w:val="20"/>
          <w:szCs w:val="20"/>
        </w:rPr>
      </w:pPr>
    </w:p>
    <w:sectPr w:rsidR="00377C74" w:rsidRPr="00E2106A" w:rsidSect="007F29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E0F12"/>
    <w:multiLevelType w:val="hybridMultilevel"/>
    <w:tmpl w:val="DC12218C"/>
    <w:lvl w:ilvl="0" w:tplc="5DC486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08"/>
  <w:hyphenationZone w:val="425"/>
  <w:characterSpacingControl w:val="doNotCompress"/>
  <w:compat/>
  <w:rsids>
    <w:rsidRoot w:val="00377C74"/>
    <w:rsid w:val="00377C74"/>
    <w:rsid w:val="00762FEE"/>
    <w:rsid w:val="007F290C"/>
    <w:rsid w:val="00B3362C"/>
    <w:rsid w:val="00C96083"/>
    <w:rsid w:val="00E05606"/>
    <w:rsid w:val="00E2106A"/>
    <w:rsid w:val="00E75B77"/>
    <w:rsid w:val="00EC180F"/>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E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59"/>
    <w:rsid w:val="00377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77C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77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77C7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2375</Characters>
  <Application>Microsoft Macintosh Word</Application>
  <DocSecurity>0</DocSecurity>
  <Lines>19</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Estelle VALLET</cp:lastModifiedBy>
  <cp:revision>2</cp:revision>
  <dcterms:created xsi:type="dcterms:W3CDTF">2014-03-07T10:24:00Z</dcterms:created>
  <dcterms:modified xsi:type="dcterms:W3CDTF">2014-03-07T10:24:00Z</dcterms:modified>
</cp:coreProperties>
</file>